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18DCD" w14:textId="77777777" w:rsidR="00EA3DA0" w:rsidRDefault="00EA3DA0">
      <w:pPr>
        <w:widowControl w:val="0"/>
        <w:pBdr>
          <w:top w:val="nil"/>
          <w:left w:val="nil"/>
          <w:bottom w:val="nil"/>
          <w:right w:val="nil"/>
          <w:between w:val="nil"/>
        </w:pBdr>
        <w:spacing w:after="0" w:line="276" w:lineRule="auto"/>
      </w:pPr>
    </w:p>
    <w:p w14:paraId="3A39A1E1" w14:textId="77777777" w:rsidR="00EA3DA0" w:rsidRPr="007807FF" w:rsidRDefault="00106201" w:rsidP="007807FF">
      <w:pPr>
        <w:pBdr>
          <w:top w:val="nil"/>
          <w:left w:val="nil"/>
          <w:bottom w:val="nil"/>
          <w:right w:val="nil"/>
          <w:between w:val="nil"/>
        </w:pBdr>
        <w:spacing w:before="240" w:after="0"/>
        <w:rPr>
          <w:b/>
          <w:color w:val="000000"/>
          <w:sz w:val="44"/>
          <w:szCs w:val="44"/>
        </w:rPr>
      </w:pPr>
      <w:r w:rsidRPr="007807FF">
        <w:rPr>
          <w:b/>
          <w:color w:val="000000"/>
          <w:sz w:val="44"/>
          <w:szCs w:val="44"/>
        </w:rPr>
        <w:t>Early Years Foundation Stage (EYFS) Checking the Identity of Visitors Policy</w:t>
      </w:r>
    </w:p>
    <w:p w14:paraId="5003F540" w14:textId="77777777" w:rsidR="00EA3DA0" w:rsidRPr="007807FF" w:rsidRDefault="00106201" w:rsidP="007807FF">
      <w:pPr>
        <w:pBdr>
          <w:top w:val="nil"/>
          <w:left w:val="nil"/>
          <w:bottom w:val="nil"/>
          <w:right w:val="nil"/>
          <w:between w:val="nil"/>
        </w:pBdr>
        <w:spacing w:before="240" w:after="0"/>
        <w:rPr>
          <w:color w:val="000000"/>
          <w:sz w:val="44"/>
          <w:szCs w:val="44"/>
        </w:rPr>
      </w:pPr>
      <w:r w:rsidRPr="007807FF">
        <w:rPr>
          <w:b/>
          <w:color w:val="000000"/>
          <w:sz w:val="44"/>
          <w:szCs w:val="44"/>
        </w:rPr>
        <w:t>Portsdown Primary School and Early Years</w:t>
      </w:r>
    </w:p>
    <w:p w14:paraId="42E48126" w14:textId="77777777" w:rsidR="00EA3DA0" w:rsidRDefault="00106201">
      <w:pPr>
        <w:pBdr>
          <w:top w:val="nil"/>
          <w:left w:val="nil"/>
          <w:bottom w:val="nil"/>
          <w:right w:val="nil"/>
          <w:between w:val="nil"/>
        </w:pBdr>
        <w:rPr>
          <w:color w:val="000000"/>
        </w:rPr>
      </w:pPr>
      <w:r>
        <w:rPr>
          <w:noProof/>
        </w:rPr>
        <w:drawing>
          <wp:anchor distT="0" distB="0" distL="114300" distR="114300" simplePos="0" relativeHeight="251658240" behindDoc="0" locked="0" layoutInCell="1" hidden="0" allowOverlap="1" wp14:anchorId="6291EB6C" wp14:editId="13017F9B">
            <wp:simplePos x="0" y="0"/>
            <wp:positionH relativeFrom="column">
              <wp:posOffset>1916430</wp:posOffset>
            </wp:positionH>
            <wp:positionV relativeFrom="paragraph">
              <wp:posOffset>178435</wp:posOffset>
            </wp:positionV>
            <wp:extent cx="2362200" cy="253365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362200" cy="2533650"/>
                    </a:xfrm>
                    <a:prstGeom prst="rect">
                      <a:avLst/>
                    </a:prstGeom>
                    <a:ln/>
                  </pic:spPr>
                </pic:pic>
              </a:graphicData>
            </a:graphic>
          </wp:anchor>
        </w:drawing>
      </w:r>
    </w:p>
    <w:p w14:paraId="533B7408" w14:textId="77777777" w:rsidR="00EA3DA0" w:rsidRDefault="00EA3DA0">
      <w:pPr>
        <w:pBdr>
          <w:top w:val="nil"/>
          <w:left w:val="nil"/>
          <w:bottom w:val="nil"/>
          <w:right w:val="nil"/>
          <w:between w:val="nil"/>
        </w:pBdr>
        <w:rPr>
          <w:color w:val="00CF80"/>
        </w:rPr>
      </w:pPr>
    </w:p>
    <w:p w14:paraId="2ADF3FF5" w14:textId="77777777" w:rsidR="00EA3DA0" w:rsidRDefault="00EA3DA0">
      <w:pPr>
        <w:pBdr>
          <w:top w:val="nil"/>
          <w:left w:val="nil"/>
          <w:bottom w:val="nil"/>
          <w:right w:val="nil"/>
          <w:between w:val="nil"/>
        </w:pBdr>
        <w:rPr>
          <w:color w:val="000000"/>
        </w:rPr>
      </w:pPr>
    </w:p>
    <w:p w14:paraId="51A566CE" w14:textId="77777777" w:rsidR="00EA3DA0" w:rsidRDefault="00EA3DA0">
      <w:pPr>
        <w:pBdr>
          <w:top w:val="nil"/>
          <w:left w:val="nil"/>
          <w:bottom w:val="nil"/>
          <w:right w:val="nil"/>
          <w:between w:val="nil"/>
        </w:pBdr>
        <w:rPr>
          <w:color w:val="000000"/>
        </w:rPr>
      </w:pPr>
    </w:p>
    <w:p w14:paraId="5165CDA4" w14:textId="77777777" w:rsidR="00EA3DA0" w:rsidRDefault="00EA3DA0">
      <w:pPr>
        <w:pBdr>
          <w:top w:val="nil"/>
          <w:left w:val="nil"/>
          <w:bottom w:val="nil"/>
          <w:right w:val="nil"/>
          <w:between w:val="nil"/>
        </w:pBdr>
        <w:rPr>
          <w:color w:val="000000"/>
        </w:rPr>
      </w:pPr>
    </w:p>
    <w:p w14:paraId="498F007E" w14:textId="77777777" w:rsidR="00EA3DA0" w:rsidRDefault="00EA3DA0">
      <w:pPr>
        <w:pBdr>
          <w:top w:val="nil"/>
          <w:left w:val="nil"/>
          <w:bottom w:val="nil"/>
          <w:right w:val="nil"/>
          <w:between w:val="nil"/>
        </w:pBdr>
        <w:rPr>
          <w:color w:val="000000"/>
        </w:rPr>
      </w:pPr>
    </w:p>
    <w:p w14:paraId="0E12BB8A" w14:textId="77777777" w:rsidR="00EA3DA0" w:rsidRDefault="00EA3DA0">
      <w:pPr>
        <w:pBdr>
          <w:top w:val="nil"/>
          <w:left w:val="nil"/>
          <w:bottom w:val="nil"/>
          <w:right w:val="nil"/>
          <w:between w:val="nil"/>
        </w:pBdr>
        <w:rPr>
          <w:color w:val="000000"/>
        </w:rPr>
      </w:pPr>
    </w:p>
    <w:p w14:paraId="7FB167D5" w14:textId="77777777" w:rsidR="00EA3DA0" w:rsidRDefault="00EA3DA0">
      <w:pPr>
        <w:pBdr>
          <w:top w:val="nil"/>
          <w:left w:val="nil"/>
          <w:bottom w:val="nil"/>
          <w:right w:val="nil"/>
          <w:between w:val="nil"/>
        </w:pBdr>
        <w:rPr>
          <w:color w:val="000000"/>
        </w:rPr>
      </w:pPr>
    </w:p>
    <w:p w14:paraId="53E95A40" w14:textId="77777777" w:rsidR="00EA3DA0" w:rsidRDefault="00EA3DA0">
      <w:pPr>
        <w:pBdr>
          <w:top w:val="nil"/>
          <w:left w:val="nil"/>
          <w:bottom w:val="nil"/>
          <w:right w:val="nil"/>
          <w:between w:val="nil"/>
        </w:pBdr>
        <w:rPr>
          <w:color w:val="000000"/>
        </w:rPr>
      </w:pPr>
    </w:p>
    <w:p w14:paraId="3A383D77" w14:textId="77777777" w:rsidR="00EA3DA0" w:rsidRDefault="00EA3DA0">
      <w:pPr>
        <w:pBdr>
          <w:top w:val="nil"/>
          <w:left w:val="nil"/>
          <w:bottom w:val="nil"/>
          <w:right w:val="nil"/>
          <w:between w:val="nil"/>
        </w:pBdr>
        <w:rPr>
          <w:color w:val="000000"/>
        </w:rPr>
      </w:pPr>
    </w:p>
    <w:p w14:paraId="1A9ACD82" w14:textId="77777777" w:rsidR="00EA3DA0" w:rsidRDefault="00EA3DA0">
      <w:pPr>
        <w:pBdr>
          <w:top w:val="nil"/>
          <w:left w:val="nil"/>
          <w:bottom w:val="nil"/>
          <w:right w:val="nil"/>
          <w:between w:val="nil"/>
        </w:pBdr>
        <w:rPr>
          <w:color w:val="000000"/>
        </w:rPr>
      </w:pPr>
    </w:p>
    <w:p w14:paraId="3FCAAE72" w14:textId="77777777" w:rsidR="00EA3DA0" w:rsidRDefault="00EA3DA0">
      <w:pPr>
        <w:pBdr>
          <w:top w:val="nil"/>
          <w:left w:val="nil"/>
          <w:bottom w:val="nil"/>
          <w:right w:val="nil"/>
          <w:between w:val="nil"/>
        </w:pBdr>
        <w:rPr>
          <w:color w:val="000000"/>
        </w:rPr>
      </w:pPr>
    </w:p>
    <w:p w14:paraId="5D932A6C" w14:textId="77777777" w:rsidR="00EA3DA0" w:rsidRDefault="00EA3DA0">
      <w:pPr>
        <w:pBdr>
          <w:top w:val="nil"/>
          <w:left w:val="nil"/>
          <w:bottom w:val="nil"/>
          <w:right w:val="nil"/>
          <w:between w:val="nil"/>
        </w:pBdr>
        <w:rPr>
          <w:color w:val="000000"/>
        </w:rPr>
      </w:pPr>
    </w:p>
    <w:p w14:paraId="71CF575C" w14:textId="77777777" w:rsidR="00EA3DA0" w:rsidRDefault="00EA3DA0">
      <w:pPr>
        <w:pBdr>
          <w:top w:val="nil"/>
          <w:left w:val="nil"/>
          <w:bottom w:val="nil"/>
          <w:right w:val="nil"/>
          <w:between w:val="nil"/>
        </w:pBdr>
        <w:rPr>
          <w:color w:val="000000"/>
        </w:rPr>
      </w:pPr>
    </w:p>
    <w:p w14:paraId="3A57545E" w14:textId="77777777" w:rsidR="00EA3DA0" w:rsidRDefault="00EA3DA0">
      <w:pPr>
        <w:pBdr>
          <w:top w:val="nil"/>
          <w:left w:val="nil"/>
          <w:bottom w:val="nil"/>
          <w:right w:val="nil"/>
          <w:between w:val="nil"/>
        </w:pBdr>
        <w:rPr>
          <w:color w:val="000000"/>
        </w:rPr>
      </w:pPr>
    </w:p>
    <w:p w14:paraId="434C5C03" w14:textId="77777777" w:rsidR="00EA3DA0" w:rsidRDefault="00EA3DA0">
      <w:pPr>
        <w:pBdr>
          <w:top w:val="nil"/>
          <w:left w:val="nil"/>
          <w:bottom w:val="nil"/>
          <w:right w:val="nil"/>
          <w:between w:val="nil"/>
        </w:pBdr>
        <w:rPr>
          <w:color w:val="000000"/>
        </w:rPr>
      </w:pPr>
    </w:p>
    <w:p w14:paraId="6372ABF7" w14:textId="77777777" w:rsidR="00EA3DA0" w:rsidRDefault="00EA3DA0">
      <w:pPr>
        <w:pBdr>
          <w:top w:val="nil"/>
          <w:left w:val="nil"/>
          <w:bottom w:val="nil"/>
          <w:right w:val="nil"/>
          <w:between w:val="nil"/>
        </w:pBdr>
        <w:rPr>
          <w:color w:val="000000"/>
        </w:rPr>
      </w:pPr>
    </w:p>
    <w:p w14:paraId="413C0A82" w14:textId="77777777" w:rsidR="00EA3DA0" w:rsidRDefault="00EA3DA0">
      <w:pPr>
        <w:pBdr>
          <w:top w:val="nil"/>
          <w:left w:val="nil"/>
          <w:bottom w:val="nil"/>
          <w:right w:val="nil"/>
          <w:between w:val="nil"/>
        </w:pBdr>
        <w:rPr>
          <w:color w:val="000000"/>
        </w:rPr>
      </w:pPr>
    </w:p>
    <w:p w14:paraId="376BE6A8" w14:textId="77777777" w:rsidR="00EA3DA0" w:rsidRDefault="00EA3DA0">
      <w:pPr>
        <w:pBdr>
          <w:top w:val="nil"/>
          <w:left w:val="nil"/>
          <w:bottom w:val="nil"/>
          <w:right w:val="nil"/>
          <w:between w:val="nil"/>
        </w:pBdr>
        <w:rPr>
          <w:color w:val="000000"/>
        </w:rPr>
      </w:pPr>
    </w:p>
    <w:p w14:paraId="417C952C" w14:textId="77777777" w:rsidR="00EA3DA0" w:rsidRDefault="00EA3DA0">
      <w:pPr>
        <w:pBdr>
          <w:top w:val="nil"/>
          <w:left w:val="nil"/>
          <w:bottom w:val="nil"/>
          <w:right w:val="nil"/>
          <w:between w:val="nil"/>
        </w:pBdr>
        <w:rPr>
          <w:color w:val="000000"/>
        </w:rPr>
      </w:pPr>
    </w:p>
    <w:p w14:paraId="6373802A" w14:textId="77777777" w:rsidR="00EA3DA0" w:rsidRDefault="00EA3DA0">
      <w:pPr>
        <w:pBdr>
          <w:top w:val="nil"/>
          <w:left w:val="nil"/>
          <w:bottom w:val="nil"/>
          <w:right w:val="nil"/>
          <w:between w:val="nil"/>
        </w:pBdr>
        <w:rPr>
          <w:color w:val="000000"/>
        </w:rPr>
      </w:pPr>
    </w:p>
    <w:p w14:paraId="6108BA86" w14:textId="77777777" w:rsidR="00EA3DA0" w:rsidRDefault="00EA3DA0">
      <w:pPr>
        <w:pBdr>
          <w:top w:val="nil"/>
          <w:left w:val="nil"/>
          <w:bottom w:val="nil"/>
          <w:right w:val="nil"/>
          <w:between w:val="nil"/>
        </w:pBdr>
        <w:rPr>
          <w:color w:val="000000"/>
        </w:rPr>
      </w:pPr>
    </w:p>
    <w:p w14:paraId="26E89CC5" w14:textId="77777777" w:rsidR="00EA3DA0" w:rsidRDefault="00EA3DA0">
      <w:pPr>
        <w:pBdr>
          <w:top w:val="nil"/>
          <w:left w:val="nil"/>
          <w:bottom w:val="nil"/>
          <w:right w:val="nil"/>
          <w:between w:val="nil"/>
        </w:pBdr>
        <w:rPr>
          <w:color w:val="000000"/>
        </w:rPr>
      </w:pPr>
    </w:p>
    <w:p w14:paraId="44D2EF3C" w14:textId="77777777" w:rsidR="00EA3DA0" w:rsidRDefault="00EA3DA0">
      <w:pPr>
        <w:rPr>
          <w:b/>
        </w:rPr>
      </w:pPr>
    </w:p>
    <w:tbl>
      <w:tblPr>
        <w:tblStyle w:val="a"/>
        <w:tblW w:w="9720" w:type="dxa"/>
        <w:tblInd w:w="108" w:type="dxa"/>
        <w:tblBorders>
          <w:insideH w:val="single" w:sz="18" w:space="0" w:color="FFFFFF"/>
        </w:tblBorders>
        <w:tblLayout w:type="fixed"/>
        <w:tblLook w:val="0400" w:firstRow="0" w:lastRow="0" w:firstColumn="0" w:lastColumn="0" w:noHBand="0" w:noVBand="1"/>
      </w:tblPr>
      <w:tblGrid>
        <w:gridCol w:w="2586"/>
        <w:gridCol w:w="4110"/>
        <w:gridCol w:w="3024"/>
      </w:tblGrid>
      <w:tr w:rsidR="00EA3DA0" w14:paraId="5EFE03BB" w14:textId="77777777">
        <w:tc>
          <w:tcPr>
            <w:tcW w:w="2586" w:type="dxa"/>
            <w:tcBorders>
              <w:top w:val="nil"/>
              <w:bottom w:val="single" w:sz="18" w:space="0" w:color="FFFFFF"/>
            </w:tcBorders>
            <w:shd w:val="clear" w:color="auto" w:fill="D8DFDE"/>
          </w:tcPr>
          <w:p w14:paraId="6B309714" w14:textId="77777777" w:rsidR="00EA3DA0" w:rsidRDefault="00106201">
            <w:pPr>
              <w:pBdr>
                <w:top w:val="nil"/>
                <w:left w:val="nil"/>
                <w:bottom w:val="nil"/>
                <w:right w:val="nil"/>
                <w:between w:val="nil"/>
              </w:pBdr>
              <w:rPr>
                <w:b/>
                <w:color w:val="000000"/>
              </w:rPr>
            </w:pPr>
            <w:r>
              <w:rPr>
                <w:b/>
                <w:color w:val="000000"/>
              </w:rPr>
              <w:t>Approved by: Governing Body</w:t>
            </w:r>
          </w:p>
        </w:tc>
        <w:tc>
          <w:tcPr>
            <w:tcW w:w="4110" w:type="dxa"/>
            <w:tcBorders>
              <w:top w:val="nil"/>
              <w:bottom w:val="single" w:sz="18" w:space="0" w:color="FFFFFF"/>
            </w:tcBorders>
            <w:shd w:val="clear" w:color="auto" w:fill="D8DFDE"/>
          </w:tcPr>
          <w:p w14:paraId="4220C2A4" w14:textId="77777777" w:rsidR="00EA3DA0" w:rsidRDefault="00EA3DA0">
            <w:pPr>
              <w:pBdr>
                <w:top w:val="nil"/>
                <w:left w:val="nil"/>
                <w:bottom w:val="nil"/>
                <w:right w:val="nil"/>
                <w:between w:val="nil"/>
              </w:pBdr>
              <w:ind w:right="850"/>
              <w:rPr>
                <w:color w:val="000000"/>
                <w:sz w:val="22"/>
                <w:szCs w:val="22"/>
                <w:highlight w:val="yellow"/>
              </w:rPr>
            </w:pPr>
          </w:p>
        </w:tc>
        <w:tc>
          <w:tcPr>
            <w:tcW w:w="3024" w:type="dxa"/>
            <w:tcBorders>
              <w:top w:val="nil"/>
              <w:bottom w:val="single" w:sz="18" w:space="0" w:color="FFFFFF"/>
            </w:tcBorders>
            <w:shd w:val="clear" w:color="auto" w:fill="D8DFDE"/>
          </w:tcPr>
          <w:p w14:paraId="7DD7E876" w14:textId="4302AEDA" w:rsidR="00EA3DA0" w:rsidRDefault="00106201">
            <w:pPr>
              <w:pBdr>
                <w:top w:val="nil"/>
                <w:left w:val="nil"/>
                <w:bottom w:val="nil"/>
                <w:right w:val="nil"/>
                <w:between w:val="nil"/>
              </w:pBdr>
              <w:ind w:right="850"/>
              <w:rPr>
                <w:color w:val="000000"/>
                <w:sz w:val="22"/>
                <w:szCs w:val="22"/>
              </w:rPr>
            </w:pPr>
            <w:r>
              <w:rPr>
                <w:b/>
                <w:color w:val="000000"/>
                <w:sz w:val="22"/>
                <w:szCs w:val="22"/>
              </w:rPr>
              <w:t>Date:</w:t>
            </w:r>
            <w:r>
              <w:rPr>
                <w:color w:val="000000"/>
                <w:sz w:val="22"/>
                <w:szCs w:val="22"/>
              </w:rPr>
              <w:t xml:space="preserve">  </w:t>
            </w:r>
            <w:r w:rsidR="00301BCE">
              <w:rPr>
                <w:color w:val="000000"/>
                <w:sz w:val="22"/>
                <w:szCs w:val="22"/>
              </w:rPr>
              <w:t>June 2026</w:t>
            </w:r>
          </w:p>
        </w:tc>
      </w:tr>
      <w:tr w:rsidR="00EA3DA0" w14:paraId="57816FC1" w14:textId="77777777">
        <w:tc>
          <w:tcPr>
            <w:tcW w:w="2586" w:type="dxa"/>
            <w:tcBorders>
              <w:top w:val="single" w:sz="18" w:space="0" w:color="FFFFFF"/>
              <w:bottom w:val="single" w:sz="18" w:space="0" w:color="FFFFFF"/>
            </w:tcBorders>
            <w:shd w:val="clear" w:color="auto" w:fill="D8DFDE"/>
          </w:tcPr>
          <w:p w14:paraId="51E2095B" w14:textId="77777777" w:rsidR="00EA3DA0" w:rsidRDefault="00106201">
            <w:pPr>
              <w:pBdr>
                <w:top w:val="nil"/>
                <w:left w:val="nil"/>
                <w:bottom w:val="nil"/>
                <w:right w:val="nil"/>
                <w:between w:val="nil"/>
              </w:pBdr>
              <w:rPr>
                <w:b/>
                <w:color w:val="000000"/>
              </w:rPr>
            </w:pPr>
            <w:r>
              <w:rPr>
                <w:b/>
                <w:color w:val="000000"/>
              </w:rPr>
              <w:t xml:space="preserve">Last reviewed on:  </w:t>
            </w:r>
          </w:p>
          <w:p w14:paraId="678DBB87" w14:textId="3596D635" w:rsidR="00EA3DA0" w:rsidRDefault="007807FF">
            <w:pPr>
              <w:pBdr>
                <w:top w:val="nil"/>
                <w:left w:val="nil"/>
                <w:bottom w:val="nil"/>
                <w:right w:val="nil"/>
                <w:between w:val="nil"/>
              </w:pBdr>
              <w:rPr>
                <w:b/>
                <w:color w:val="000000"/>
              </w:rPr>
            </w:pPr>
            <w:r>
              <w:rPr>
                <w:b/>
                <w:color w:val="000000"/>
              </w:rPr>
              <w:t>May 2026</w:t>
            </w:r>
          </w:p>
        </w:tc>
        <w:tc>
          <w:tcPr>
            <w:tcW w:w="7134" w:type="dxa"/>
            <w:gridSpan w:val="2"/>
            <w:tcBorders>
              <w:top w:val="single" w:sz="18" w:space="0" w:color="FFFFFF"/>
              <w:bottom w:val="single" w:sz="18" w:space="0" w:color="FFFFFF"/>
            </w:tcBorders>
            <w:shd w:val="clear" w:color="auto" w:fill="D8DFDE"/>
          </w:tcPr>
          <w:p w14:paraId="43601138" w14:textId="77777777" w:rsidR="00EA3DA0" w:rsidRDefault="00EA3DA0">
            <w:pPr>
              <w:pBdr>
                <w:top w:val="nil"/>
                <w:left w:val="nil"/>
                <w:bottom w:val="nil"/>
                <w:right w:val="nil"/>
                <w:between w:val="nil"/>
              </w:pBdr>
              <w:ind w:right="850"/>
              <w:rPr>
                <w:color w:val="000000"/>
                <w:sz w:val="22"/>
                <w:szCs w:val="22"/>
                <w:highlight w:val="yellow"/>
              </w:rPr>
            </w:pPr>
          </w:p>
        </w:tc>
      </w:tr>
      <w:tr w:rsidR="00EA3DA0" w14:paraId="7C5D27E2" w14:textId="77777777">
        <w:tc>
          <w:tcPr>
            <w:tcW w:w="2586" w:type="dxa"/>
            <w:tcBorders>
              <w:top w:val="single" w:sz="18" w:space="0" w:color="FFFFFF"/>
              <w:bottom w:val="nil"/>
            </w:tcBorders>
            <w:shd w:val="clear" w:color="auto" w:fill="D8DFDE"/>
          </w:tcPr>
          <w:p w14:paraId="1BA913DC" w14:textId="77777777" w:rsidR="00EA3DA0" w:rsidRDefault="00106201">
            <w:pPr>
              <w:pBdr>
                <w:top w:val="nil"/>
                <w:left w:val="nil"/>
                <w:bottom w:val="nil"/>
                <w:right w:val="nil"/>
                <w:between w:val="nil"/>
              </w:pBdr>
              <w:rPr>
                <w:b/>
                <w:color w:val="000000"/>
              </w:rPr>
            </w:pPr>
            <w:r>
              <w:rPr>
                <w:b/>
                <w:color w:val="000000"/>
              </w:rPr>
              <w:t>Next review due by:</w:t>
            </w:r>
          </w:p>
        </w:tc>
        <w:tc>
          <w:tcPr>
            <w:tcW w:w="7134" w:type="dxa"/>
            <w:gridSpan w:val="2"/>
            <w:tcBorders>
              <w:top w:val="single" w:sz="18" w:space="0" w:color="FFFFFF"/>
              <w:bottom w:val="nil"/>
            </w:tcBorders>
            <w:shd w:val="clear" w:color="auto" w:fill="D8DFDE"/>
          </w:tcPr>
          <w:p w14:paraId="406BA31B" w14:textId="317035FE" w:rsidR="00EA3DA0" w:rsidRDefault="00106201">
            <w:pPr>
              <w:pBdr>
                <w:top w:val="nil"/>
                <w:left w:val="nil"/>
                <w:bottom w:val="nil"/>
                <w:right w:val="nil"/>
                <w:between w:val="nil"/>
              </w:pBdr>
              <w:ind w:right="850"/>
              <w:rPr>
                <w:color w:val="000000"/>
                <w:sz w:val="22"/>
                <w:szCs w:val="22"/>
                <w:highlight w:val="yellow"/>
              </w:rPr>
            </w:pPr>
            <w:r>
              <w:rPr>
                <w:color w:val="000000"/>
                <w:sz w:val="22"/>
                <w:szCs w:val="22"/>
              </w:rPr>
              <w:t>J</w:t>
            </w:r>
            <w:r w:rsidR="00301BCE">
              <w:rPr>
                <w:color w:val="000000"/>
                <w:sz w:val="22"/>
                <w:szCs w:val="22"/>
              </w:rPr>
              <w:t>une</w:t>
            </w:r>
            <w:r>
              <w:rPr>
                <w:color w:val="000000"/>
                <w:sz w:val="22"/>
                <w:szCs w:val="22"/>
              </w:rPr>
              <w:t xml:space="preserve"> 202</w:t>
            </w:r>
            <w:r w:rsidR="007807FF">
              <w:rPr>
                <w:color w:val="000000"/>
                <w:sz w:val="22"/>
                <w:szCs w:val="22"/>
              </w:rPr>
              <w:t>7</w:t>
            </w:r>
          </w:p>
        </w:tc>
      </w:tr>
    </w:tbl>
    <w:p w14:paraId="1CD00A95" w14:textId="77777777" w:rsidR="00EA3DA0" w:rsidRDefault="00EA3DA0">
      <w:pPr>
        <w:pBdr>
          <w:top w:val="nil"/>
          <w:left w:val="nil"/>
          <w:bottom w:val="nil"/>
          <w:right w:val="nil"/>
          <w:between w:val="nil"/>
        </w:pBdr>
        <w:rPr>
          <w:color w:val="000000"/>
        </w:rPr>
      </w:pPr>
    </w:p>
    <w:p w14:paraId="78DDADB8" w14:textId="77777777" w:rsidR="00EA3DA0" w:rsidRDefault="00EA3DA0">
      <w:pPr>
        <w:rPr>
          <w:b/>
          <w:sz w:val="44"/>
          <w:szCs w:val="44"/>
        </w:rPr>
      </w:pPr>
    </w:p>
    <w:p w14:paraId="6B5E5664" w14:textId="77777777" w:rsidR="00EA3DA0" w:rsidRDefault="00106201">
      <w:pPr>
        <w:rPr>
          <w:b/>
          <w:sz w:val="24"/>
          <w:szCs w:val="24"/>
        </w:rPr>
      </w:pPr>
      <w:r>
        <w:rPr>
          <w:b/>
          <w:sz w:val="24"/>
          <w:szCs w:val="24"/>
        </w:rPr>
        <w:lastRenderedPageBreak/>
        <w:t>Contents</w:t>
      </w:r>
    </w:p>
    <w:sdt>
      <w:sdtPr>
        <w:id w:val="-602219793"/>
        <w:docPartObj>
          <w:docPartGallery w:val="Table of Contents"/>
          <w:docPartUnique/>
        </w:docPartObj>
      </w:sdtPr>
      <w:sdtEndPr/>
      <w:sdtContent>
        <w:p w14:paraId="1D251F8F" w14:textId="77777777" w:rsidR="00EA3DA0" w:rsidRDefault="00106201">
          <w:pPr>
            <w:tabs>
              <w:tab w:val="right" w:pos="9338"/>
            </w:tabs>
            <w:spacing w:before="120"/>
            <w:rPr>
              <w:rFonts w:ascii="Calibri" w:eastAsia="Calibri" w:hAnsi="Calibri" w:cs="Calibri"/>
              <w:sz w:val="24"/>
              <w:szCs w:val="24"/>
            </w:rPr>
          </w:pPr>
          <w:r>
            <w:fldChar w:fldCharType="begin"/>
          </w:r>
          <w:r>
            <w:instrText xml:space="preserve"> TOC \h \u \z \t "Heading 1,1,Heading 2,2,"</w:instrText>
          </w:r>
          <w:r>
            <w:fldChar w:fldCharType="separate"/>
          </w:r>
          <w:r>
            <w:rPr>
              <w:sz w:val="24"/>
              <w:szCs w:val="24"/>
            </w:rPr>
            <w:t>1. Aims</w:t>
          </w:r>
          <w:r>
            <w:rPr>
              <w:sz w:val="24"/>
              <w:szCs w:val="24"/>
            </w:rPr>
            <w:tab/>
          </w:r>
        </w:p>
        <w:p w14:paraId="343873B6" w14:textId="77777777" w:rsidR="00EA3DA0" w:rsidRDefault="00106201">
          <w:pPr>
            <w:tabs>
              <w:tab w:val="right" w:pos="9338"/>
            </w:tabs>
            <w:spacing w:before="120"/>
            <w:rPr>
              <w:sz w:val="24"/>
              <w:szCs w:val="24"/>
            </w:rPr>
          </w:pPr>
          <w:r>
            <w:rPr>
              <w:sz w:val="24"/>
              <w:szCs w:val="24"/>
            </w:rPr>
            <w:t xml:space="preserve">2. Legislation……………………………………………………  </w:t>
          </w:r>
        </w:p>
        <w:p w14:paraId="74BBE0E2" w14:textId="77777777" w:rsidR="00EA3DA0" w:rsidRDefault="00106201">
          <w:pPr>
            <w:tabs>
              <w:tab w:val="right" w:pos="9338"/>
            </w:tabs>
            <w:spacing w:before="120"/>
            <w:rPr>
              <w:rFonts w:ascii="Calibri" w:eastAsia="Calibri" w:hAnsi="Calibri" w:cs="Calibri"/>
              <w:sz w:val="24"/>
              <w:szCs w:val="24"/>
            </w:rPr>
          </w:pPr>
          <w:r>
            <w:rPr>
              <w:sz w:val="24"/>
              <w:szCs w:val="24"/>
            </w:rPr>
            <w:t>3. Checking the identity of visitor’s policy statement</w:t>
          </w:r>
          <w:r>
            <w:rPr>
              <w:sz w:val="24"/>
              <w:szCs w:val="24"/>
            </w:rPr>
            <w:tab/>
          </w:r>
        </w:p>
        <w:p w14:paraId="66AF4126" w14:textId="77777777" w:rsidR="00EA3DA0" w:rsidRDefault="00106201">
          <w:pPr>
            <w:tabs>
              <w:tab w:val="right" w:pos="9338"/>
            </w:tabs>
            <w:spacing w:before="120"/>
            <w:rPr>
              <w:rFonts w:ascii="Calibri" w:eastAsia="Calibri" w:hAnsi="Calibri" w:cs="Calibri"/>
              <w:sz w:val="24"/>
              <w:szCs w:val="24"/>
            </w:rPr>
          </w:pPr>
          <w:r>
            <w:rPr>
              <w:sz w:val="24"/>
              <w:szCs w:val="24"/>
            </w:rPr>
            <w:t>4. Building security procedures</w:t>
          </w:r>
          <w:r>
            <w:rPr>
              <w:sz w:val="24"/>
              <w:szCs w:val="24"/>
            </w:rPr>
            <w:tab/>
          </w:r>
        </w:p>
        <w:p w14:paraId="6C63432A" w14:textId="77777777" w:rsidR="00EA3DA0" w:rsidRDefault="00106201">
          <w:pPr>
            <w:tabs>
              <w:tab w:val="right" w:pos="9338"/>
            </w:tabs>
            <w:spacing w:before="120"/>
            <w:rPr>
              <w:sz w:val="24"/>
              <w:szCs w:val="24"/>
            </w:rPr>
          </w:pPr>
          <w:r>
            <w:rPr>
              <w:sz w:val="24"/>
              <w:szCs w:val="24"/>
            </w:rPr>
            <w:t>5. Verification of visitor’s identity procedures………………..</w:t>
          </w:r>
        </w:p>
        <w:p w14:paraId="3714A5D5" w14:textId="77777777" w:rsidR="00EA3DA0" w:rsidRDefault="00106201">
          <w:pPr>
            <w:tabs>
              <w:tab w:val="right" w:pos="9338"/>
            </w:tabs>
            <w:spacing w:before="120"/>
            <w:rPr>
              <w:sz w:val="24"/>
              <w:szCs w:val="24"/>
            </w:rPr>
          </w:pPr>
          <w:r>
            <w:rPr>
              <w:sz w:val="24"/>
              <w:szCs w:val="24"/>
            </w:rPr>
            <w:t>6. Children leaving the nursery early</w:t>
          </w:r>
        </w:p>
        <w:p w14:paraId="2E2AB4B9" w14:textId="77777777" w:rsidR="00EA3DA0" w:rsidRDefault="00106201">
          <w:pPr>
            <w:rPr>
              <w:sz w:val="24"/>
              <w:szCs w:val="24"/>
            </w:rPr>
          </w:pPr>
          <w:r>
            <w:fldChar w:fldCharType="end"/>
          </w:r>
        </w:p>
      </w:sdtContent>
    </w:sdt>
    <w:p w14:paraId="3763D69A" w14:textId="77777777" w:rsidR="00EA3DA0" w:rsidRDefault="00106201">
      <w:pPr>
        <w:pStyle w:val="Heading1"/>
        <w:rPr>
          <w:color w:val="000000"/>
        </w:rPr>
      </w:pPr>
      <w:bookmarkStart w:id="0" w:name="_heading=h.s9zjg71288m4" w:colFirst="0" w:colLast="0"/>
      <w:bookmarkEnd w:id="0"/>
      <w:r>
        <w:rPr>
          <w:color w:val="000000"/>
        </w:rPr>
        <w:t>1. Aims</w:t>
      </w:r>
    </w:p>
    <w:p w14:paraId="0C2CB108" w14:textId="77777777" w:rsidR="00EA3DA0" w:rsidRDefault="00106201">
      <w:pPr>
        <w:spacing w:line="360" w:lineRule="auto"/>
        <w:rPr>
          <w:sz w:val="24"/>
          <w:szCs w:val="24"/>
        </w:rPr>
      </w:pPr>
      <w:r>
        <w:rPr>
          <w:sz w:val="24"/>
          <w:szCs w:val="24"/>
        </w:rPr>
        <w:t>This policy and procedures aim to ensure:</w:t>
      </w:r>
    </w:p>
    <w:p w14:paraId="299046A4" w14:textId="77777777" w:rsidR="00EA3DA0" w:rsidRDefault="00106201">
      <w:pPr>
        <w:numPr>
          <w:ilvl w:val="0"/>
          <w:numId w:val="1"/>
        </w:numPr>
        <w:pBdr>
          <w:top w:val="nil"/>
          <w:left w:val="nil"/>
          <w:bottom w:val="nil"/>
          <w:right w:val="nil"/>
          <w:between w:val="nil"/>
        </w:pBdr>
        <w:spacing w:before="120" w:line="360" w:lineRule="auto"/>
        <w:ind w:left="567" w:hanging="283"/>
        <w:rPr>
          <w:color w:val="000000"/>
          <w:sz w:val="24"/>
          <w:szCs w:val="24"/>
        </w:rPr>
      </w:pPr>
      <w:r>
        <w:rPr>
          <w:color w:val="000000"/>
          <w:sz w:val="24"/>
          <w:szCs w:val="24"/>
        </w:rPr>
        <w:t xml:space="preserve">The safety and care of all children through ensuring we are providing a safe secure site at all times. </w:t>
      </w:r>
    </w:p>
    <w:p w14:paraId="1EF2C70A" w14:textId="77777777" w:rsidR="00EA3DA0" w:rsidRDefault="00106201">
      <w:pPr>
        <w:numPr>
          <w:ilvl w:val="0"/>
          <w:numId w:val="1"/>
        </w:numPr>
        <w:pBdr>
          <w:top w:val="nil"/>
          <w:left w:val="nil"/>
          <w:bottom w:val="nil"/>
          <w:right w:val="nil"/>
          <w:between w:val="nil"/>
        </w:pBdr>
        <w:spacing w:before="120" w:line="360" w:lineRule="auto"/>
        <w:ind w:left="567" w:hanging="283"/>
        <w:rPr>
          <w:color w:val="000000"/>
          <w:sz w:val="24"/>
          <w:szCs w:val="24"/>
        </w:rPr>
      </w:pPr>
      <w:r>
        <w:rPr>
          <w:color w:val="000000"/>
          <w:sz w:val="24"/>
          <w:szCs w:val="24"/>
        </w:rPr>
        <w:t>A clear framework of procedures to follow ensuring any visitors to the nursery are appropriately identified prior to them entering the part of the premises in which the children are being cared for.</w:t>
      </w:r>
    </w:p>
    <w:p w14:paraId="62CA8CB8" w14:textId="77777777" w:rsidR="00EA3DA0" w:rsidRDefault="00106201">
      <w:pPr>
        <w:pStyle w:val="Heading1"/>
        <w:rPr>
          <w:color w:val="000000"/>
        </w:rPr>
      </w:pPr>
      <w:bookmarkStart w:id="1" w:name="_heading=h.qutwbwfdg60f" w:colFirst="0" w:colLast="0"/>
      <w:bookmarkEnd w:id="1"/>
      <w:r>
        <w:rPr>
          <w:color w:val="000000"/>
        </w:rPr>
        <w:t>2. Legislation</w:t>
      </w:r>
    </w:p>
    <w:p w14:paraId="0F8550A1" w14:textId="77777777" w:rsidR="00EA3DA0" w:rsidRDefault="00106201">
      <w:pPr>
        <w:spacing w:line="276" w:lineRule="auto"/>
        <w:rPr>
          <w:color w:val="0072CC"/>
          <w:sz w:val="24"/>
          <w:szCs w:val="24"/>
          <w:u w:val="single"/>
        </w:rPr>
      </w:pPr>
      <w:r>
        <w:rPr>
          <w:sz w:val="24"/>
          <w:szCs w:val="24"/>
        </w:rPr>
        <w:t xml:space="preserve">This policy is based on requirements set out in the </w:t>
      </w:r>
      <w:hyperlink r:id="rId9">
        <w:r>
          <w:rPr>
            <w:color w:val="1155CC"/>
            <w:sz w:val="24"/>
            <w:szCs w:val="24"/>
            <w:u w:val="single"/>
          </w:rPr>
          <w:t xml:space="preserve">2025 statutory framework for the Early Years Foundation Stage (EYFS). </w:t>
        </w:r>
      </w:hyperlink>
    </w:p>
    <w:p w14:paraId="0872E58B" w14:textId="77777777" w:rsidR="00EA3DA0" w:rsidRDefault="00EA3DA0">
      <w:pPr>
        <w:spacing w:after="0"/>
        <w:rPr>
          <w:b/>
          <w:sz w:val="28"/>
          <w:szCs w:val="28"/>
        </w:rPr>
      </w:pPr>
    </w:p>
    <w:p w14:paraId="3ADCA9B0" w14:textId="77777777" w:rsidR="00EA3DA0" w:rsidRDefault="00106201">
      <w:pPr>
        <w:spacing w:after="0"/>
        <w:rPr>
          <w:b/>
          <w:sz w:val="28"/>
          <w:szCs w:val="28"/>
        </w:rPr>
      </w:pPr>
      <w:r>
        <w:rPr>
          <w:b/>
          <w:sz w:val="28"/>
          <w:szCs w:val="28"/>
        </w:rPr>
        <w:t>3. Checking the Identity of Visitor’s Policy’s statement</w:t>
      </w:r>
    </w:p>
    <w:p w14:paraId="3E669483" w14:textId="77777777" w:rsidR="00EA3DA0" w:rsidRDefault="00106201">
      <w:pPr>
        <w:spacing w:after="0" w:line="360" w:lineRule="auto"/>
        <w:rPr>
          <w:sz w:val="24"/>
          <w:szCs w:val="24"/>
        </w:rPr>
      </w:pPr>
      <w:r>
        <w:rPr>
          <w:sz w:val="24"/>
          <w:szCs w:val="24"/>
        </w:rPr>
        <w:t>Children’s safety is maintained as the highest priority at all times. This ensures that children attending the Early Years are safe and cared for in order to minimise risk and to maintain safe practices. This policy is a statement of procedures and responsibilities for the identification and verification of visitors who are trying to access the building where children are being cared for.</w:t>
      </w:r>
    </w:p>
    <w:p w14:paraId="005C3BB0" w14:textId="77777777" w:rsidR="00EA3DA0" w:rsidRDefault="00EA3DA0">
      <w:pPr>
        <w:spacing w:after="0"/>
        <w:jc w:val="center"/>
        <w:rPr>
          <w:rFonts w:ascii="Arial Black" w:eastAsia="Arial Black" w:hAnsi="Arial Black" w:cs="Arial Black"/>
          <w:sz w:val="28"/>
          <w:szCs w:val="28"/>
        </w:rPr>
      </w:pPr>
    </w:p>
    <w:p w14:paraId="6D6A7719" w14:textId="77777777" w:rsidR="00EA3DA0" w:rsidRDefault="00106201">
      <w:pPr>
        <w:spacing w:after="0"/>
        <w:rPr>
          <w:b/>
          <w:sz w:val="28"/>
          <w:szCs w:val="28"/>
        </w:rPr>
      </w:pPr>
      <w:r>
        <w:rPr>
          <w:b/>
          <w:sz w:val="28"/>
          <w:szCs w:val="28"/>
        </w:rPr>
        <w:t>4. Building security procedures</w:t>
      </w:r>
    </w:p>
    <w:p w14:paraId="2867E1B6" w14:textId="77777777" w:rsidR="00EA3DA0" w:rsidRDefault="00106201">
      <w:pPr>
        <w:spacing w:line="360" w:lineRule="auto"/>
        <w:rPr>
          <w:sz w:val="24"/>
          <w:szCs w:val="24"/>
        </w:rPr>
      </w:pPr>
      <w:r>
        <w:rPr>
          <w:sz w:val="24"/>
          <w:szCs w:val="24"/>
        </w:rPr>
        <w:t>To ensure the children’s safety while they are in the building, staff, parents and carers must follow the procedures below.</w:t>
      </w:r>
    </w:p>
    <w:p w14:paraId="344ACD13" w14:textId="77777777" w:rsidR="00EA3DA0" w:rsidRDefault="00106201">
      <w:pPr>
        <w:spacing w:line="360" w:lineRule="auto"/>
        <w:rPr>
          <w:sz w:val="24"/>
          <w:szCs w:val="24"/>
        </w:rPr>
      </w:pPr>
      <w:r>
        <w:rPr>
          <w:sz w:val="24"/>
          <w:szCs w:val="24"/>
        </w:rPr>
        <w:t>On entry at the start of the session, children are taken from parent/carer at:</w:t>
      </w:r>
    </w:p>
    <w:p w14:paraId="34AA1018" w14:textId="77777777" w:rsidR="00EA3DA0" w:rsidRDefault="00106201">
      <w:pPr>
        <w:numPr>
          <w:ilvl w:val="0"/>
          <w:numId w:val="3"/>
        </w:numPr>
        <w:pBdr>
          <w:top w:val="nil"/>
          <w:left w:val="nil"/>
          <w:bottom w:val="nil"/>
          <w:right w:val="nil"/>
          <w:between w:val="nil"/>
        </w:pBdr>
        <w:spacing w:after="0" w:line="360" w:lineRule="auto"/>
        <w:rPr>
          <w:color w:val="000000"/>
          <w:sz w:val="24"/>
          <w:szCs w:val="24"/>
        </w:rPr>
      </w:pPr>
      <w:r>
        <w:rPr>
          <w:color w:val="000000"/>
          <w:sz w:val="24"/>
          <w:szCs w:val="24"/>
        </w:rPr>
        <w:t>the door to reception classes;</w:t>
      </w:r>
    </w:p>
    <w:p w14:paraId="7B38396A" w14:textId="77777777" w:rsidR="00EA3DA0" w:rsidRDefault="00106201">
      <w:pPr>
        <w:numPr>
          <w:ilvl w:val="0"/>
          <w:numId w:val="3"/>
        </w:numPr>
        <w:pBdr>
          <w:top w:val="nil"/>
          <w:left w:val="nil"/>
          <w:bottom w:val="nil"/>
          <w:right w:val="nil"/>
          <w:between w:val="nil"/>
        </w:pBdr>
        <w:spacing w:after="0" w:line="360" w:lineRule="auto"/>
        <w:rPr>
          <w:color w:val="000000"/>
          <w:sz w:val="24"/>
          <w:szCs w:val="24"/>
        </w:rPr>
      </w:pPr>
      <w:r>
        <w:rPr>
          <w:color w:val="000000"/>
          <w:sz w:val="24"/>
          <w:szCs w:val="24"/>
        </w:rPr>
        <w:t>the gate for Butterflies;</w:t>
      </w:r>
    </w:p>
    <w:p w14:paraId="36FF8966" w14:textId="77777777" w:rsidR="00EA3DA0" w:rsidRDefault="00106201">
      <w:pPr>
        <w:numPr>
          <w:ilvl w:val="0"/>
          <w:numId w:val="3"/>
        </w:numPr>
        <w:pBdr>
          <w:top w:val="nil"/>
          <w:left w:val="nil"/>
          <w:bottom w:val="nil"/>
          <w:right w:val="nil"/>
          <w:between w:val="nil"/>
        </w:pBdr>
        <w:spacing w:line="360" w:lineRule="auto"/>
        <w:rPr>
          <w:color w:val="000000"/>
          <w:sz w:val="24"/>
          <w:szCs w:val="24"/>
        </w:rPr>
      </w:pPr>
      <w:r>
        <w:rPr>
          <w:color w:val="000000"/>
          <w:sz w:val="24"/>
          <w:szCs w:val="24"/>
        </w:rPr>
        <w:lastRenderedPageBreak/>
        <w:t xml:space="preserve">door </w:t>
      </w:r>
      <w:r>
        <w:rPr>
          <w:sz w:val="24"/>
          <w:szCs w:val="24"/>
        </w:rPr>
        <w:t>to the main</w:t>
      </w:r>
      <w:r>
        <w:rPr>
          <w:color w:val="000000"/>
          <w:sz w:val="24"/>
          <w:szCs w:val="24"/>
        </w:rPr>
        <w:t xml:space="preserve"> nursery building for Caterpillars.</w:t>
      </w:r>
    </w:p>
    <w:p w14:paraId="0446EB7F" w14:textId="77777777" w:rsidR="00EA3DA0" w:rsidRDefault="00106201">
      <w:pPr>
        <w:spacing w:line="360" w:lineRule="auto"/>
        <w:rPr>
          <w:sz w:val="24"/>
          <w:szCs w:val="24"/>
        </w:rPr>
      </w:pPr>
      <w:r>
        <w:rPr>
          <w:sz w:val="24"/>
          <w:szCs w:val="24"/>
        </w:rPr>
        <w:t>This is to limit access of unauthorised adults into the buildings. There must be a high presence of staff monitoring the entry and exits at the start and end of sessions</w:t>
      </w:r>
      <w:r>
        <w:t>.</w:t>
      </w:r>
      <w:r>
        <w:rPr>
          <w:sz w:val="24"/>
          <w:szCs w:val="24"/>
        </w:rPr>
        <w:t xml:space="preserve"> </w:t>
      </w:r>
    </w:p>
    <w:p w14:paraId="2FC507A8" w14:textId="77777777" w:rsidR="00EA3DA0" w:rsidRDefault="00106201">
      <w:pPr>
        <w:spacing w:after="0" w:line="360" w:lineRule="auto"/>
        <w:rPr>
          <w:sz w:val="24"/>
          <w:szCs w:val="24"/>
        </w:rPr>
      </w:pPr>
      <w:r>
        <w:rPr>
          <w:sz w:val="24"/>
          <w:szCs w:val="24"/>
        </w:rPr>
        <w:t>Once all the children are on site, the external gates and external doors to the building are locked. Empty classrooms have windows closed to prevent intrusion and to ensure children and staff safety. There is a secure fob entry system in use for entry by staff into the nursery building and into the individual nursery classes. Staff must ensure the doors are closed behind them.</w:t>
      </w:r>
      <w:r>
        <w:t xml:space="preserve"> </w:t>
      </w:r>
      <w:r>
        <w:rPr>
          <w:sz w:val="24"/>
          <w:szCs w:val="24"/>
        </w:rPr>
        <w:t>Parents/carers are requested, by signs on the doors, not to allow entry to other parents and visitors.</w:t>
      </w:r>
    </w:p>
    <w:p w14:paraId="34C38B6D" w14:textId="77777777" w:rsidR="00EA3DA0" w:rsidRDefault="00EA3DA0">
      <w:pPr>
        <w:spacing w:after="0" w:line="360" w:lineRule="auto"/>
        <w:rPr>
          <w:sz w:val="24"/>
          <w:szCs w:val="24"/>
        </w:rPr>
      </w:pPr>
    </w:p>
    <w:p w14:paraId="4CC8B4CE" w14:textId="77777777" w:rsidR="00EA3DA0" w:rsidRDefault="00106201">
      <w:pPr>
        <w:spacing w:line="360" w:lineRule="auto"/>
        <w:rPr>
          <w:b/>
          <w:sz w:val="28"/>
          <w:szCs w:val="28"/>
        </w:rPr>
      </w:pPr>
      <w:r>
        <w:rPr>
          <w:b/>
          <w:sz w:val="28"/>
          <w:szCs w:val="28"/>
        </w:rPr>
        <w:t>5. Verification of a visitor’s identity procedures</w:t>
      </w:r>
    </w:p>
    <w:p w14:paraId="4ACD255E" w14:textId="77777777" w:rsidR="00EA3DA0" w:rsidRDefault="00106201">
      <w:pPr>
        <w:spacing w:after="0" w:line="360" w:lineRule="auto"/>
        <w:rPr>
          <w:sz w:val="24"/>
          <w:szCs w:val="24"/>
        </w:rPr>
      </w:pPr>
      <w:r>
        <w:rPr>
          <w:sz w:val="24"/>
          <w:szCs w:val="24"/>
        </w:rPr>
        <w:t xml:space="preserve">There is an intercom system linked to the external gates and external doors for visitors. When answering the intercom system, staff must check who is requesting entry. </w:t>
      </w:r>
    </w:p>
    <w:p w14:paraId="3B1F5B85" w14:textId="77777777" w:rsidR="00EA3DA0" w:rsidRDefault="00106201">
      <w:pPr>
        <w:spacing w:after="0" w:line="360" w:lineRule="auto"/>
        <w:rPr>
          <w:sz w:val="24"/>
          <w:szCs w:val="24"/>
        </w:rPr>
      </w:pPr>
      <w:r>
        <w:rPr>
          <w:sz w:val="24"/>
          <w:szCs w:val="24"/>
        </w:rPr>
        <w:t xml:space="preserve">If staff do not recognise the visitor, they must not allow entry to the grounds. They must go down to the gate to verify, identify and ask who the visitor is at the nursery to see. </w:t>
      </w:r>
    </w:p>
    <w:p w14:paraId="3D06C506" w14:textId="77777777" w:rsidR="00EA3DA0" w:rsidRDefault="00106201">
      <w:pPr>
        <w:spacing w:after="0" w:line="360" w:lineRule="auto"/>
        <w:rPr>
          <w:sz w:val="24"/>
          <w:szCs w:val="24"/>
        </w:rPr>
      </w:pPr>
      <w:r>
        <w:rPr>
          <w:sz w:val="24"/>
          <w:szCs w:val="24"/>
        </w:rPr>
        <w:t xml:space="preserve">Items used to verify identity include: </w:t>
      </w:r>
    </w:p>
    <w:p w14:paraId="47C14A80" w14:textId="77777777" w:rsidR="00EA3DA0" w:rsidRDefault="00106201">
      <w:pPr>
        <w:numPr>
          <w:ilvl w:val="0"/>
          <w:numId w:val="2"/>
        </w:numPr>
        <w:pBdr>
          <w:top w:val="nil"/>
          <w:left w:val="nil"/>
          <w:bottom w:val="nil"/>
          <w:right w:val="nil"/>
          <w:between w:val="nil"/>
        </w:pBdr>
        <w:spacing w:after="0" w:line="360" w:lineRule="auto"/>
        <w:rPr>
          <w:color w:val="000000"/>
          <w:sz w:val="24"/>
          <w:szCs w:val="24"/>
        </w:rPr>
      </w:pPr>
      <w:r>
        <w:rPr>
          <w:color w:val="000000"/>
          <w:sz w:val="24"/>
          <w:szCs w:val="24"/>
        </w:rPr>
        <w:t xml:space="preserve">Driving licence </w:t>
      </w:r>
    </w:p>
    <w:p w14:paraId="5D53E9BD" w14:textId="77777777" w:rsidR="00EA3DA0" w:rsidRDefault="00106201">
      <w:pPr>
        <w:numPr>
          <w:ilvl w:val="0"/>
          <w:numId w:val="2"/>
        </w:numPr>
        <w:pBdr>
          <w:top w:val="nil"/>
          <w:left w:val="nil"/>
          <w:bottom w:val="nil"/>
          <w:right w:val="nil"/>
          <w:between w:val="nil"/>
        </w:pBdr>
        <w:spacing w:after="0" w:line="360" w:lineRule="auto"/>
        <w:rPr>
          <w:color w:val="000000"/>
          <w:sz w:val="24"/>
          <w:szCs w:val="24"/>
        </w:rPr>
      </w:pPr>
      <w:r>
        <w:rPr>
          <w:color w:val="000000"/>
          <w:sz w:val="24"/>
          <w:szCs w:val="24"/>
        </w:rPr>
        <w:t xml:space="preserve">Passport </w:t>
      </w:r>
    </w:p>
    <w:p w14:paraId="773ADE4F" w14:textId="77777777" w:rsidR="00EA3DA0" w:rsidRDefault="00106201">
      <w:pPr>
        <w:numPr>
          <w:ilvl w:val="0"/>
          <w:numId w:val="2"/>
        </w:numPr>
        <w:pBdr>
          <w:top w:val="nil"/>
          <w:left w:val="nil"/>
          <w:bottom w:val="nil"/>
          <w:right w:val="nil"/>
          <w:between w:val="nil"/>
        </w:pBdr>
        <w:spacing w:after="0" w:line="360" w:lineRule="auto"/>
        <w:rPr>
          <w:color w:val="000000"/>
          <w:sz w:val="24"/>
          <w:szCs w:val="24"/>
        </w:rPr>
      </w:pPr>
      <w:r>
        <w:rPr>
          <w:color w:val="000000"/>
          <w:sz w:val="24"/>
          <w:szCs w:val="24"/>
        </w:rPr>
        <w:t xml:space="preserve">Company identification card. </w:t>
      </w:r>
    </w:p>
    <w:p w14:paraId="286F770F" w14:textId="77777777" w:rsidR="00EA3DA0" w:rsidRDefault="00EA3DA0">
      <w:pPr>
        <w:spacing w:after="0" w:line="360" w:lineRule="auto"/>
        <w:rPr>
          <w:sz w:val="24"/>
          <w:szCs w:val="24"/>
        </w:rPr>
      </w:pPr>
    </w:p>
    <w:p w14:paraId="573745C0" w14:textId="77777777" w:rsidR="00EA3DA0" w:rsidRDefault="00106201">
      <w:pPr>
        <w:spacing w:after="0" w:line="360" w:lineRule="auto"/>
        <w:rPr>
          <w:sz w:val="24"/>
          <w:szCs w:val="24"/>
        </w:rPr>
      </w:pPr>
      <w:r>
        <w:rPr>
          <w:sz w:val="24"/>
          <w:szCs w:val="24"/>
        </w:rPr>
        <w:t xml:space="preserve">When visitors and volunteers enter at the nursery reception, they must sign in. </w:t>
      </w:r>
    </w:p>
    <w:p w14:paraId="7E7BC5A4" w14:textId="77777777" w:rsidR="00EA3DA0" w:rsidRDefault="00106201">
      <w:pPr>
        <w:spacing w:after="0" w:line="360" w:lineRule="auto"/>
        <w:rPr>
          <w:sz w:val="24"/>
          <w:szCs w:val="24"/>
        </w:rPr>
      </w:pPr>
      <w:r>
        <w:rPr>
          <w:sz w:val="24"/>
          <w:szCs w:val="24"/>
        </w:rPr>
        <w:t xml:space="preserve">If the visitor is for Year R (Reception) or the main school, they must be directed to the main school office via the external main gate. Visitors must NOT be allowed through the east entrance door to the school unaccompanied. </w:t>
      </w:r>
    </w:p>
    <w:p w14:paraId="6D5A1E2F" w14:textId="77777777" w:rsidR="00EA3DA0" w:rsidRDefault="00EA3DA0">
      <w:pPr>
        <w:spacing w:after="0" w:line="360" w:lineRule="auto"/>
        <w:rPr>
          <w:sz w:val="24"/>
          <w:szCs w:val="24"/>
        </w:rPr>
      </w:pPr>
    </w:p>
    <w:p w14:paraId="3544E9C9" w14:textId="77777777" w:rsidR="00EA3DA0" w:rsidRDefault="00106201">
      <w:pPr>
        <w:spacing w:after="0" w:line="360" w:lineRule="auto"/>
        <w:rPr>
          <w:b/>
          <w:sz w:val="28"/>
          <w:szCs w:val="28"/>
        </w:rPr>
      </w:pPr>
      <w:r>
        <w:rPr>
          <w:b/>
          <w:sz w:val="28"/>
          <w:szCs w:val="28"/>
        </w:rPr>
        <w:t>6. Children leaving the nursery early</w:t>
      </w:r>
    </w:p>
    <w:p w14:paraId="2FC98F79" w14:textId="77777777" w:rsidR="00EA3DA0" w:rsidRDefault="00106201">
      <w:pPr>
        <w:spacing w:after="0" w:line="360" w:lineRule="auto"/>
        <w:rPr>
          <w:b/>
          <w:sz w:val="24"/>
          <w:szCs w:val="24"/>
        </w:rPr>
      </w:pPr>
      <w:r>
        <w:rPr>
          <w:sz w:val="24"/>
          <w:szCs w:val="24"/>
        </w:rPr>
        <w:t xml:space="preserve">Children are only allowed home during the nursery sessions with adults/carers with parental responsibility or their explicit permission being given. All children leaving or returning during the school day must be signed out/in on the register including information on who collected or returned the child to nursery. </w:t>
      </w:r>
    </w:p>
    <w:sectPr w:rsidR="00EA3DA0">
      <w:headerReference w:type="even" r:id="rId10"/>
      <w:headerReference w:type="default" r:id="rId11"/>
      <w:footerReference w:type="default" r:id="rId12"/>
      <w:headerReference w:type="first" r:id="rId13"/>
      <w:footerReference w:type="first" r:id="rId14"/>
      <w:pgSz w:w="11900" w:h="16840"/>
      <w:pgMar w:top="992" w:right="1077" w:bottom="1701" w:left="1077" w:header="56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D31C3" w14:textId="77777777" w:rsidR="000055D5" w:rsidRDefault="000055D5">
      <w:pPr>
        <w:spacing w:after="0"/>
      </w:pPr>
      <w:r>
        <w:separator/>
      </w:r>
    </w:p>
  </w:endnote>
  <w:endnote w:type="continuationSeparator" w:id="0">
    <w:p w14:paraId="376CC7E3" w14:textId="77777777" w:rsidR="000055D5" w:rsidRDefault="000055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91C9" w14:textId="77777777" w:rsidR="00EA3DA0" w:rsidRDefault="00106201">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7807FF">
      <w:rPr>
        <w:noProof/>
        <w:color w:val="000000"/>
        <w:sz w:val="16"/>
        <w:szCs w:val="16"/>
      </w:rPr>
      <w:t>2</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D120" w14:textId="77777777" w:rsidR="00EA3DA0" w:rsidRDefault="00EA3DA0">
    <w:pPr>
      <w:widowControl w:val="0"/>
      <w:pBdr>
        <w:top w:val="nil"/>
        <w:left w:val="nil"/>
        <w:bottom w:val="nil"/>
        <w:right w:val="nil"/>
        <w:between w:val="nil"/>
      </w:pBdr>
      <w:spacing w:after="0" w:line="276" w:lineRule="auto"/>
      <w:rPr>
        <w:color w:val="808080"/>
        <w:sz w:val="16"/>
        <w:szCs w:val="16"/>
      </w:rPr>
    </w:pPr>
  </w:p>
  <w:tbl>
    <w:tblPr>
      <w:tblStyle w:val="a0"/>
      <w:tblW w:w="9781" w:type="dxa"/>
      <w:tblBorders>
        <w:top w:val="single" w:sz="8" w:space="0" w:color="FF1F64"/>
      </w:tblBorders>
      <w:tblLayout w:type="fixed"/>
      <w:tblLook w:val="0400" w:firstRow="0" w:lastRow="0" w:firstColumn="0" w:lastColumn="0" w:noHBand="0" w:noVBand="1"/>
    </w:tblPr>
    <w:tblGrid>
      <w:gridCol w:w="6379"/>
      <w:gridCol w:w="3402"/>
    </w:tblGrid>
    <w:tr w:rsidR="00EA3DA0" w14:paraId="3CB538CD" w14:textId="77777777">
      <w:tc>
        <w:tcPr>
          <w:tcW w:w="6379" w:type="dxa"/>
          <w:shd w:val="clear" w:color="auto" w:fill="auto"/>
        </w:tcPr>
        <w:p w14:paraId="46DD867A" w14:textId="77777777" w:rsidR="00EA3DA0" w:rsidRDefault="00EA3DA0">
          <w:pPr>
            <w:shd w:val="clear" w:color="auto" w:fill="FFFFFF"/>
            <w:rPr>
              <w:color w:val="808080"/>
              <w:sz w:val="16"/>
              <w:szCs w:val="16"/>
            </w:rPr>
          </w:pPr>
        </w:p>
      </w:tc>
      <w:tc>
        <w:tcPr>
          <w:tcW w:w="3402" w:type="dxa"/>
        </w:tcPr>
        <w:p w14:paraId="3B7CC598" w14:textId="77777777" w:rsidR="00EA3DA0" w:rsidRDefault="00EA3DA0">
          <w:pPr>
            <w:shd w:val="clear" w:color="auto" w:fill="FFFFFF"/>
            <w:rPr>
              <w:color w:val="BFBFBF"/>
              <w:sz w:val="17"/>
              <w:szCs w:val="17"/>
            </w:rPr>
          </w:pPr>
        </w:p>
      </w:tc>
    </w:tr>
  </w:tbl>
  <w:p w14:paraId="0F50EF7C" w14:textId="77777777" w:rsidR="00EA3DA0" w:rsidRDefault="00106201">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7807FF">
      <w:rPr>
        <w:noProof/>
        <w:color w:val="000000"/>
        <w:sz w:val="16"/>
        <w:szCs w:val="16"/>
      </w:rPr>
      <w:t>1</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EB5FD" w14:textId="77777777" w:rsidR="000055D5" w:rsidRDefault="000055D5">
      <w:pPr>
        <w:spacing w:after="0"/>
      </w:pPr>
      <w:r>
        <w:separator/>
      </w:r>
    </w:p>
  </w:footnote>
  <w:footnote w:type="continuationSeparator" w:id="0">
    <w:p w14:paraId="5AC5C97F" w14:textId="77777777" w:rsidR="000055D5" w:rsidRDefault="000055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33B50" w14:textId="77777777" w:rsidR="00EA3DA0" w:rsidRDefault="00106201">
    <w:r>
      <w:rPr>
        <w:noProof/>
      </w:rPr>
      <w:drawing>
        <wp:anchor distT="0" distB="0" distL="0" distR="0" simplePos="0" relativeHeight="251657216" behindDoc="1" locked="0" layoutInCell="1" hidden="0" allowOverlap="1" wp14:anchorId="1D51ED28" wp14:editId="6B03D678">
          <wp:simplePos x="0" y="0"/>
          <wp:positionH relativeFrom="margin">
            <wp:align>center</wp:align>
          </wp:positionH>
          <wp:positionV relativeFrom="margin">
            <wp:align>center</wp:align>
          </wp:positionV>
          <wp:extent cx="7558405" cy="10695940"/>
          <wp:effectExtent l="0" t="0" r="0" b="0"/>
          <wp:wrapNone/>
          <wp:docPr id="4" name="image1.png" descr="keydocs-background-banner"/>
          <wp:cNvGraphicFramePr/>
          <a:graphic xmlns:a="http://schemas.openxmlformats.org/drawingml/2006/main">
            <a:graphicData uri="http://schemas.openxmlformats.org/drawingml/2006/picture">
              <pic:pic xmlns:pic="http://schemas.openxmlformats.org/drawingml/2006/picture">
                <pic:nvPicPr>
                  <pic:cNvPr id="0" name="image1.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0055D5">
      <w:pict w14:anchorId="0D47A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keydocs-background" style="position:absolute;margin-left:0;margin-top:0;width:595.15pt;height:842.2pt;z-index:-251658240;mso-position-horizontal:center;mso-position-horizontal-relative:margin;mso-position-vertical:center;mso-position-vertical-relative:margin">
          <v:imagedata r:id="rId2"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9E7C" w14:textId="77777777" w:rsidR="00EA3DA0" w:rsidRDefault="00EA3DA0"/>
  <w:p w14:paraId="660EAD9F" w14:textId="77777777" w:rsidR="00EA3DA0" w:rsidRDefault="00EA3DA0"/>
  <w:p w14:paraId="5C279DE7" w14:textId="77777777" w:rsidR="00EA3DA0" w:rsidRDefault="00EA3D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6CC2E" w14:textId="77777777" w:rsidR="00EA3DA0" w:rsidRDefault="00EA3DA0"/>
  <w:p w14:paraId="3FB3F17A" w14:textId="77777777" w:rsidR="00EA3DA0" w:rsidRDefault="00EA3D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207CA"/>
    <w:multiLevelType w:val="multilevel"/>
    <w:tmpl w:val="E8EA0E3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9404FC9"/>
    <w:multiLevelType w:val="multilevel"/>
    <w:tmpl w:val="36D4E4FE"/>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2" w15:restartNumberingAfterBreak="0">
    <w:nsid w:val="4B6D4C90"/>
    <w:multiLevelType w:val="multilevel"/>
    <w:tmpl w:val="FD4CE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DA0"/>
    <w:rsid w:val="000055D5"/>
    <w:rsid w:val="00106201"/>
    <w:rsid w:val="00301BCE"/>
    <w:rsid w:val="007807FF"/>
    <w:rsid w:val="00EA3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1E9188"/>
  <w15:docId w15:val="{F720F1BB-B5E8-4BB1-9EFC-29BFFF4F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outlineLvl w:val="0"/>
    </w:pPr>
    <w:rPr>
      <w:b/>
      <w:color w:val="FF1F64"/>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basedOn w:val="DefaultParagraphFont"/>
    <w:link w:val="Heading1"/>
    <w:uiPriority w:val="8"/>
    <w:rsid w:val="006565A8"/>
    <w:rPr>
      <w:rFonts w:ascii="Arial" w:eastAsia="Calibri" w:hAnsi="Arial" w:cs="Arial"/>
      <w:b/>
      <w:color w:val="FF1F64"/>
      <w:sz w:val="28"/>
      <w:szCs w:val="36"/>
    </w:rPr>
  </w:style>
  <w:style w:type="character" w:customStyle="1" w:styleId="Heading3Char">
    <w:name w:val="Heading 3 Char"/>
    <w:link w:val="Heading3"/>
    <w:uiPriority w:val="9"/>
    <w:rsid w:val="006565A8"/>
    <w:rPr>
      <w:rFonts w:eastAsia="MS Gothic" w:cs="Arial"/>
      <w:b/>
      <w:bCs/>
      <w:color w:val="7F7F7F"/>
      <w:sz w:val="24"/>
      <w:szCs w:val="32"/>
      <w:lang w:val="en-US" w:eastAsia="en-US"/>
    </w:rPr>
  </w:style>
  <w:style w:type="paragraph" w:styleId="Footer">
    <w:name w:val="footer"/>
    <w:basedOn w:val="Normal"/>
    <w:link w:val="FooterChar"/>
    <w:uiPriority w:val="99"/>
    <w:unhideWhenUsed/>
    <w:rsid w:val="006565A8"/>
    <w:pPr>
      <w:shd w:val="clear" w:color="auto" w:fill="FFFFFF"/>
      <w:textAlignment w:val="baseline"/>
    </w:pPr>
    <w:rPr>
      <w:rFonts w:eastAsia="Times New Roman"/>
      <w:color w:val="808080"/>
      <w:sz w:val="16"/>
      <w:szCs w:val="16"/>
      <w:bdr w:val="none" w:sz="0" w:space="0" w:color="auto" w:frame="1"/>
    </w:rPr>
  </w:style>
  <w:style w:type="character" w:customStyle="1" w:styleId="FooterChar">
    <w:name w:val="Footer Char"/>
    <w:basedOn w:val="DefaultParagraphFont"/>
    <w:link w:val="Footer"/>
    <w:uiPriority w:val="99"/>
    <w:rsid w:val="006565A8"/>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6565A8"/>
    <w:rPr>
      <w:color w:val="0072CC"/>
      <w:u w:val="single"/>
    </w:rPr>
  </w:style>
  <w:style w:type="paragraph" w:customStyle="1" w:styleId="1bodycopy10pt">
    <w:name w:val="1 body copy 10pt"/>
    <w:basedOn w:val="Normal"/>
    <w:link w:val="1bodycopy10ptChar"/>
    <w:qFormat/>
    <w:rsid w:val="006565A8"/>
  </w:style>
  <w:style w:type="character" w:customStyle="1" w:styleId="1bodycopy10ptChar">
    <w:name w:val="1 body copy 10pt Char"/>
    <w:link w:val="1bodycopy10pt"/>
    <w:rsid w:val="006565A8"/>
    <w:rPr>
      <w:rFonts w:ascii="Arial" w:eastAsia="MS Mincho" w:hAnsi="Arial" w:cs="Times New Roman"/>
      <w:sz w:val="20"/>
      <w:szCs w:val="24"/>
      <w:lang w:val="en-US"/>
    </w:rPr>
  </w:style>
  <w:style w:type="paragraph" w:customStyle="1" w:styleId="6Abstract">
    <w:name w:val="6 Abstract"/>
    <w:qFormat/>
    <w:rsid w:val="006565A8"/>
    <w:pPr>
      <w:spacing w:after="240" w:line="259" w:lineRule="auto"/>
    </w:pPr>
    <w:rPr>
      <w:rFonts w:eastAsia="MS Mincho" w:cs="Times New Roman"/>
      <w:sz w:val="28"/>
      <w:szCs w:val="28"/>
      <w:lang w:val="en-US"/>
    </w:rPr>
  </w:style>
  <w:style w:type="paragraph" w:customStyle="1" w:styleId="Text">
    <w:name w:val="Text"/>
    <w:basedOn w:val="BodyText"/>
    <w:link w:val="TextChar"/>
    <w:qFormat/>
    <w:rsid w:val="006565A8"/>
  </w:style>
  <w:style w:type="character" w:customStyle="1" w:styleId="TextChar">
    <w:name w:val="Text Char"/>
    <w:link w:val="Text"/>
    <w:rsid w:val="006565A8"/>
    <w:rPr>
      <w:rFonts w:ascii="Arial" w:eastAsia="MS Mincho" w:hAnsi="Arial" w:cs="Arial"/>
      <w:sz w:val="20"/>
      <w:szCs w:val="20"/>
      <w:lang w:val="en-US"/>
    </w:rPr>
  </w:style>
  <w:style w:type="paragraph" w:customStyle="1" w:styleId="TableHeading">
    <w:name w:val="TableHeading"/>
    <w:basedOn w:val="1bodycopy10pt"/>
    <w:link w:val="TableHeadingChar"/>
    <w:qFormat/>
    <w:rsid w:val="006565A8"/>
    <w:pPr>
      <w:spacing w:after="0"/>
    </w:pPr>
  </w:style>
  <w:style w:type="character" w:customStyle="1" w:styleId="TableHeadingChar">
    <w:name w:val="TableHeading Char"/>
    <w:link w:val="TableHeading"/>
    <w:rsid w:val="006565A8"/>
    <w:rPr>
      <w:rFonts w:ascii="Arial" w:eastAsia="MS Mincho" w:hAnsi="Arial" w:cs="Times New Roman"/>
      <w:sz w:val="20"/>
      <w:szCs w:val="24"/>
      <w:lang w:val="en-US"/>
    </w:rPr>
  </w:style>
  <w:style w:type="paragraph" w:customStyle="1" w:styleId="1bodycopy11pt">
    <w:name w:val="1 body copy 11pt"/>
    <w:autoRedefine/>
    <w:rsid w:val="006565A8"/>
    <w:pPr>
      <w:ind w:right="850"/>
    </w:pPr>
    <w:rPr>
      <w:rFonts w:eastAsia="MS Mincho"/>
      <w:szCs w:val="24"/>
      <w:lang w:val="en-US"/>
    </w:rPr>
  </w:style>
  <w:style w:type="paragraph" w:customStyle="1" w:styleId="3Policytitle">
    <w:name w:val="3 Policy title"/>
    <w:basedOn w:val="Normal"/>
    <w:qFormat/>
    <w:rsid w:val="006565A8"/>
    <w:rPr>
      <w:b/>
      <w:sz w:val="72"/>
    </w:rPr>
  </w:style>
  <w:style w:type="paragraph" w:styleId="ListParagraph">
    <w:name w:val="List Paragraph"/>
    <w:basedOn w:val="Normal"/>
    <w:uiPriority w:val="99"/>
    <w:qFormat/>
    <w:rsid w:val="006565A8"/>
    <w:pPr>
      <w:ind w:left="720"/>
      <w:contextualSpacing/>
    </w:pPr>
  </w:style>
  <w:style w:type="paragraph" w:customStyle="1" w:styleId="Tablebodycopy">
    <w:name w:val="Table body copy"/>
    <w:basedOn w:val="1bodycopy10pt"/>
    <w:qFormat/>
    <w:rsid w:val="006565A8"/>
    <w:pPr>
      <w:keepLines/>
      <w:spacing w:after="60"/>
      <w:textboxTightWrap w:val="allLines"/>
    </w:pPr>
  </w:style>
  <w:style w:type="character" w:customStyle="1" w:styleId="Heading3Char1">
    <w:name w:val="Heading 3 Char1"/>
    <w:basedOn w:val="DefaultParagraphFont"/>
    <w:uiPriority w:val="9"/>
    <w:semiHidden/>
    <w:rsid w:val="006565A8"/>
    <w:rPr>
      <w:rFonts w:asciiTheme="majorHAnsi" w:eastAsiaTheme="majorEastAsia" w:hAnsiTheme="majorHAnsi" w:cstheme="majorBidi"/>
      <w:b/>
      <w:bCs/>
      <w:color w:val="4F81BD" w:themeColor="accent1"/>
      <w:sz w:val="20"/>
      <w:szCs w:val="24"/>
      <w:lang w:val="en-US"/>
    </w:rPr>
  </w:style>
  <w:style w:type="paragraph" w:styleId="BodyText">
    <w:name w:val="Body Text"/>
    <w:basedOn w:val="Normal"/>
    <w:link w:val="BodyTextChar"/>
    <w:uiPriority w:val="99"/>
    <w:semiHidden/>
    <w:unhideWhenUsed/>
    <w:rsid w:val="006565A8"/>
  </w:style>
  <w:style w:type="character" w:customStyle="1" w:styleId="BodyTextChar">
    <w:name w:val="Body Text Char"/>
    <w:basedOn w:val="DefaultParagraphFont"/>
    <w:link w:val="BodyText"/>
    <w:uiPriority w:val="99"/>
    <w:semiHidden/>
    <w:rsid w:val="006565A8"/>
    <w:rPr>
      <w:rFonts w:ascii="Arial" w:eastAsia="MS Mincho" w:hAnsi="Arial" w:cs="Times New Roman"/>
      <w:sz w:val="20"/>
      <w:szCs w:val="24"/>
      <w:lang w:val="en-US"/>
    </w:rPr>
  </w:style>
  <w:style w:type="paragraph" w:styleId="NormalWeb">
    <w:name w:val="Normal (Web)"/>
    <w:basedOn w:val="Normal"/>
    <w:uiPriority w:val="99"/>
    <w:semiHidden/>
    <w:unhideWhenUsed/>
    <w:rsid w:val="00E371FE"/>
    <w:pPr>
      <w:spacing w:before="100" w:beforeAutospacing="1" w:after="100" w:afterAutospacing="1"/>
    </w:pPr>
    <w:rPr>
      <w:rFonts w:ascii="Times New Roman" w:eastAsia="Times New Roman" w:hAnsi="Times New Roman"/>
      <w:sz w:val="24"/>
      <w:lang w:val="en-GB"/>
    </w:rPr>
  </w:style>
  <w:style w:type="character" w:styleId="Strong">
    <w:name w:val="Strong"/>
    <w:basedOn w:val="DefaultParagraphFont"/>
    <w:uiPriority w:val="22"/>
    <w:qFormat/>
    <w:rsid w:val="00E371FE"/>
    <w:rPr>
      <w:b/>
      <w:bCs/>
    </w:rPr>
  </w:style>
  <w:style w:type="paragraph" w:styleId="BalloonText">
    <w:name w:val="Balloon Text"/>
    <w:basedOn w:val="Normal"/>
    <w:link w:val="BalloonTextChar"/>
    <w:uiPriority w:val="99"/>
    <w:semiHidden/>
    <w:unhideWhenUsed/>
    <w:rsid w:val="00C955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518"/>
    <w:rPr>
      <w:rFonts w:ascii="Segoe UI" w:eastAsia="MS Mincho" w:hAnsi="Segoe UI" w:cs="Segoe UI"/>
      <w:sz w:val="18"/>
      <w:szCs w:val="18"/>
      <w:lang w:val="en-US"/>
    </w:rPr>
  </w:style>
  <w:style w:type="character" w:styleId="UnresolvedMention">
    <w:name w:val="Unresolved Mention"/>
    <w:basedOn w:val="DefaultParagraphFont"/>
    <w:uiPriority w:val="99"/>
    <w:semiHidden/>
    <w:unhideWhenUsed/>
    <w:rsid w:val="0054622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5" w:type="dxa"/>
        <w:bottom w:w="57" w:type="dxa"/>
        <w:right w:w="115" w:type="dxa"/>
      </w:tblCellMar>
    </w:tblPr>
  </w:style>
  <w:style w:type="table" w:customStyle="1" w:styleId="a0">
    <w:basedOn w:val="TableNormal"/>
    <w:tblPr>
      <w:tblStyleRowBandSize w:val="1"/>
      <w:tblStyleColBandSize w:val="1"/>
      <w:tblCellMar>
        <w:top w:w="142" w:type="dxa"/>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media/687105a381dd8f70f5de3ea9/EYFS_framework_for_group_and_school_based_providers_.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9Hyr8E2EERB86xd7ASmPhCN5tw==">CgMxLjAyDmguczl6amc3MTI4OG00Mg5oLnF1dHdid2ZkZzYwZjgAciExOXRnZVdjbGpRVmozejNrMWdRQ0JqRkdPdDZmZFBaQi0=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Hill</dc:creator>
  <cp:lastModifiedBy>D Cowell</cp:lastModifiedBy>
  <cp:revision>3</cp:revision>
  <dcterms:created xsi:type="dcterms:W3CDTF">2026-05-01T10:17:00Z</dcterms:created>
  <dcterms:modified xsi:type="dcterms:W3CDTF">2026-06-12T10:55:00Z</dcterms:modified>
</cp:coreProperties>
</file>